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1dcf9b03d464d5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13107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GRADAC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975.499,99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1.049.095,69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975.387,06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1.105.349,93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56.254,24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14.772,56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22.129,59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14.772,56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22.129,59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14.659,63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78.383,83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534,7</w:t>
            </w:r>
          </w:p>
        </w:tc>
      </w:tr>
    </w:tbl>
    <w:p>
      <w:pPr>
        <w:spacing w:before="0" w:after="0"/>
      </w:pPr>
    </w:p>
    <w:p>
      <w:r>
        <w:t xml:space="preserve">Obrazloženje manjka prihoda poslovanja proizlazi iz modificiranog načela nastanka poslovnog događaja koji se odnosi na plaću za 12. mjesec 2026. godine, koja je kao trošak ukalkulirana u godišnji izvještaj a isplata je 09.01.2026. godine.</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28.007,02 odnosi se na obveze materijalnih rashoda nastalih tijekom 12. mjeseca 25. godine jer nadležni proračun nije do kraja obračunskog razdoblja uplatio sredstva za podmirenje navedenih rashod čija se uplata očekuje tijekom 01. mjeseca 2026.</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r>
        <w:t xml:space="preserve">Škola je do 31.08.2025. godine sudjelovala u projektu Učimo zajedno VII (2024./2025.). Od 01.09.2025. godine ne postoji potreba za pomoćnikom u nastavi.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0745299bf634b49" /></Relationships>
</file>